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60"/>
      </w:pPr>
      <w:r>
        <w:rPr>
          <w:b/>
          <w:rFonts w:ascii="Calibri" w:hAnsi="Calibri"/>
          <w:sz w:val="34"/>
        </w:rPr>
        <w:t xml:space="preserve">Resumen de operaciones — Junio 2026 · Casa de las Baterías (Panamá)</w:t>
      </w:r>
    </w:p>
    <w:p>
      <w:pPr>
        <w:spacing w:after="160"/>
      </w:pPr>
      <w:r>
        <w:rPr>
          <w:rFonts w:ascii="Calibri" w:hAnsi="Calibri"/>
          <w:sz w:val="22"/>
        </w:rPr>
        <w:t xml:space="preserve">Fuente: cierre mensual de operaciones y ventas. Documento didáctico del taller — el nivel "resultado de negocio" que ninguna plataforma publicitaria ve.</w:t>
      </w:r>
    </w:p>
    <w:p>
      <w:pPr>
        <w:spacing w:after="160"/>
      </w:pPr>
      <w:r>
        <w:rPr>
          <w:b/>
          <w:rFonts w:ascii="Calibri" w:hAnsi="Calibri"/>
          <w:sz w:val="27"/>
        </w:rPr>
        <w:t xml:space="preserve">Ventas del mes por línea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b/>
          <w:rFonts w:ascii="Calibri" w:hAnsi="Calibri"/>
          <w:sz w:val="22"/>
        </w:rPr>
        <w:t xml:space="preserve">Baterías auto: </w:t>
      </w:r>
      <w:r>
        <w:rPr>
          <w:rFonts w:ascii="Calibri" w:hAnsi="Calibri"/>
          <w:sz w:val="22"/>
        </w:rPr>
        <w:t xml:space="preserve">96 unidades · $9,860 · margen medio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b/>
          <w:rFonts w:ascii="Calibri" w:hAnsi="Calibri"/>
          <w:sz w:val="22"/>
        </w:rPr>
        <w:t xml:space="preserve">Baterías moto: </w:t>
      </w:r>
      <w:r>
        <w:rPr>
          <w:rFonts w:ascii="Calibri" w:hAnsi="Calibri"/>
          <w:sz w:val="22"/>
        </w:rPr>
        <w:t xml:space="preserve">41 unidades · $2,650 · margen medio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b/>
          <w:rFonts w:ascii="Calibri" w:hAnsi="Calibri"/>
          <w:sz w:val="22"/>
        </w:rPr>
        <w:t xml:space="preserve">Instalación y servicio: </w:t>
      </w:r>
      <w:r>
        <w:rPr>
          <w:rFonts w:ascii="Calibri" w:hAnsi="Calibri"/>
          <w:sz w:val="22"/>
        </w:rPr>
        <w:t xml:space="preserve">74 órdenes · $3,120 · margen alto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b/>
          <w:rFonts w:ascii="Calibri" w:hAnsi="Calibri"/>
          <w:sz w:val="22"/>
        </w:rPr>
        <w:t xml:space="preserve">Energía y respaldo: </w:t>
      </w:r>
      <w:r>
        <w:rPr>
          <w:rFonts w:ascii="Calibri" w:hAnsi="Calibri"/>
          <w:sz w:val="22"/>
        </w:rPr>
        <w:t xml:space="preserve">6 proyectos · $4,400 · ticket alto, ciclo de venta largo (4–8 semanas)</w:t>
      </w:r>
    </w:p>
    <w:p>
      <w:pPr>
        <w:spacing w:after="160"/>
      </w:pPr>
      <w:r>
        <w:rPr>
          <w:b/>
          <w:rFonts w:ascii="Calibri" w:hAnsi="Calibri"/>
          <w:sz w:val="27"/>
        </w:rPr>
        <w:t xml:space="preserve">Comportamiento en sucursal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b/>
          <w:rFonts w:ascii="Calibri" w:hAnsi="Calibri"/>
          <w:sz w:val="22"/>
        </w:rPr>
        <w:t xml:space="preserve">Visitas efectivas del mes: </w:t>
      </w:r>
      <w:r>
        <w:rPr>
          <w:rFonts w:ascii="Calibri" w:hAnsi="Calibri"/>
          <w:sz w:val="22"/>
        </w:rPr>
        <w:t xml:space="preserve">Vía España 310 · Tocumen 240 · David 150 · Chorrera 130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b/>
          <w:rFonts w:ascii="Calibri" w:hAnsi="Calibri"/>
          <w:sz w:val="22"/>
        </w:rPr>
        <w:t xml:space="preserve">Asistencias a domicilio: </w:t>
      </w:r>
      <w:r>
        <w:rPr>
          <w:rFonts w:ascii="Calibri" w:hAnsi="Calibri"/>
          <w:sz w:val="22"/>
        </w:rPr>
        <w:t xml:space="preserve">58 en el mes (12 terminaron en venta de batería nueva)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b/>
          <w:rFonts w:ascii="Calibri" w:hAnsi="Calibri"/>
          <w:sz w:val="22"/>
        </w:rPr>
        <w:t xml:space="preserve">Chequeos gratis realizados: </w:t>
      </w:r>
      <w:r>
        <w:rPr>
          <w:rFonts w:ascii="Calibri" w:hAnsi="Calibri"/>
          <w:sz w:val="22"/>
        </w:rPr>
        <w:t xml:space="preserve">205 (31 derivaron en venta el mismo día)</w:t>
      </w:r>
    </w:p>
    <w:p>
      <w:pPr>
        <w:spacing w:after="160"/>
      </w:pPr>
      <w:r>
        <w:rPr>
          <w:b/>
          <w:rFonts w:ascii="Calibri" w:hAnsi="Calibri"/>
          <w:sz w:val="27"/>
        </w:rPr>
        <w:t xml:space="preserve">Notas de operaciones (afectan la lectura de datos)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Semana del 22-jun: quiebre de stock de la referencia 42-AGM en Tocumen — redujo los cierres walk-in de esa semana.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El número de WhatsApp general recibe también consultas de garantía y estado de pedido: sepáralas antes de contar "conversaciones comerciales".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Los proyectos de Energía se cierran semanas después del primer contacto: el mes de la venta no es el mes de la campaña.</w:t>
      </w:r>
    </w:p>
    <w:sectPr>
      <w:pgSz w:w="12240" w:h="15840"/>
      <w:pgMar w:top="1134" w:right="1134" w:bottom="1134" w:left="1134"/>
    </w:sectPr>
  </w:body>
</w:document>
</file>