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ee085c79478b303c75d5578d309e8030135936e"/>
    <w:p>
      <w:pPr>
        <w:pStyle w:val="Heading1"/>
      </w:pPr>
      <w:r>
        <w:t xml:space="preserve">Política de garantía — baterías (ejemplo didáctico)</w:t>
      </w:r>
    </w:p>
    <w:p>
      <w:pPr>
        <w:pStyle w:val="BlockText"/>
      </w:pPr>
      <w:r>
        <w:t xml:space="preserve">Documento de práctica para el taller. Es un ejemplo ilustrativo con condiciones típicas del sector,</w:t>
      </w:r>
      <w:r>
        <w:t xml:space="preserve"> </w:t>
      </w:r>
      <w:r>
        <w:rPr>
          <w:b/>
          <w:bCs/>
        </w:rPr>
        <w:t xml:space="preserve">no el texto legal oficial de Casa de las Baterías</w:t>
      </w:r>
      <w:r>
        <w:t xml:space="preserve"> </w:t>
      </w:r>
      <w:r>
        <w:t xml:space="preserve">— úsalo para practicar NotebookLM y el Gem de garantías, no como referencia legal real.</w:t>
      </w:r>
    </w:p>
    <w:bookmarkStart w:id="9" w:name="alcance"/>
    <w:p>
      <w:pPr>
        <w:pStyle w:val="Heading2"/>
      </w:pPr>
      <w:r>
        <w:t xml:space="preserve">Alcance</w:t>
      </w:r>
    </w:p>
    <w:p>
      <w:pPr>
        <w:pStyle w:val="FirstParagraph"/>
      </w:pPr>
      <w:r>
        <w:t xml:space="preserve">Esta política cubre baterías automotrices y de moto vendidas en cualquiera de las sucursales de Casa de las Baterías en Panamá, El Salvador, Costa Rica y Guatemala.</w:t>
      </w:r>
    </w:p>
    <w:bookmarkEnd w:id="9"/>
    <w:bookmarkStart w:id="10" w:name="plazo-de-garantía"/>
    <w:p>
      <w:pPr>
        <w:pStyle w:val="Heading2"/>
      </w:pPr>
      <w:r>
        <w:t xml:space="preserve">Plazo de garantía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Batería automotriz línea estándar:</w:t>
      </w:r>
      <w:r>
        <w:t xml:space="preserve"> </w:t>
      </w:r>
      <w:r>
        <w:t xml:space="preserve">12 meses desde la fecha de compra, prorrateado a partir del mes 7 (se reconoce un porcentaje decreciente del valor, no el reemplazo completo).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Batería automotriz línea premium:</w:t>
      </w:r>
      <w:r>
        <w:t xml:space="preserve"> </w:t>
      </w:r>
      <w:r>
        <w:t xml:space="preserve">18 meses desde la fecha de compra, prorrateado a partir del mes 12.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Batería de moto:</w:t>
      </w:r>
      <w:r>
        <w:t xml:space="preserve"> </w:t>
      </w:r>
      <w:r>
        <w:t xml:space="preserve">6 meses desde la fecha de compra, sin prorrateo.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Instalación realizada en sucursal o a domicilio:</w:t>
      </w:r>
      <w:r>
        <w:t xml:space="preserve"> </w:t>
      </w:r>
      <w:r>
        <w:t xml:space="preserve">30 días sobre el trabajo de instalación (mano de obra), independiente de la garantía del producto.</w:t>
      </w:r>
    </w:p>
    <w:bookmarkEnd w:id="10"/>
    <w:bookmarkStart w:id="11" w:name="requisitos-para-hacer-válida-la-garantía"/>
    <w:p>
      <w:pPr>
        <w:pStyle w:val="Heading2"/>
      </w:pPr>
      <w:r>
        <w:t xml:space="preserve">Requisitos para hacer válida la garantía</w:t>
      </w:r>
    </w:p>
    <w:p>
      <w:pPr>
        <w:pStyle w:val="Compact"/>
        <w:numPr>
          <w:ilvl w:val="0"/>
          <w:numId w:val="1002"/>
        </w:numPr>
      </w:pPr>
      <w:r>
        <w:t xml:space="preserve">Presentar el comprobante de compra original (factura o recibo digital) con fecha y número de sucursal.</w:t>
      </w:r>
    </w:p>
    <w:p>
      <w:pPr>
        <w:pStyle w:val="Compact"/>
        <w:numPr>
          <w:ilvl w:val="0"/>
          <w:numId w:val="1002"/>
        </w:numPr>
      </w:pPr>
      <w:r>
        <w:t xml:space="preserve">La batería debe conservar su código de serie legible.</w:t>
      </w:r>
    </w:p>
    <w:p>
      <w:pPr>
        <w:pStyle w:val="Compact"/>
        <w:numPr>
          <w:ilvl w:val="0"/>
          <w:numId w:val="1002"/>
        </w:numPr>
      </w:pPr>
      <w:r>
        <w:t xml:space="preserve">El reclamo debe hacerse en cualquier sucursal de Casa de las Baterías, no requiere volver a la sucursal de compra original.</w:t>
      </w:r>
    </w:p>
    <w:p>
      <w:pPr>
        <w:pStyle w:val="Compact"/>
        <w:numPr>
          <w:ilvl w:val="0"/>
          <w:numId w:val="1002"/>
        </w:numPr>
      </w:pPr>
      <w:r>
        <w:t xml:space="preserve">Antes de reconocer la garantía, la sucursal realiza un chequeo técnico gratuito para determinar la causa de la falla.</w:t>
      </w:r>
    </w:p>
    <w:bookmarkEnd w:id="11"/>
    <w:bookmarkStart w:id="12" w:name="causales-de-anulación-exclusiones"/>
    <w:p>
      <w:pPr>
        <w:pStyle w:val="Heading2"/>
      </w:pPr>
      <w:r>
        <w:t xml:space="preserve">Causales de anulación (exclusiones)</w:t>
      </w:r>
    </w:p>
    <w:p>
      <w:pPr>
        <w:pStyle w:val="FirstParagraph"/>
      </w:pPr>
      <w:r>
        <w:t xml:space="preserve">La garantía</w:t>
      </w:r>
      <w:r>
        <w:t xml:space="preserve"> </w:t>
      </w:r>
      <w:r>
        <w:rPr>
          <w:b/>
          <w:bCs/>
        </w:rPr>
        <w:t xml:space="preserve">no aplica</w:t>
      </w:r>
      <w:r>
        <w:t xml:space="preserve"> </w:t>
      </w:r>
      <w:r>
        <w:t xml:space="preserve">cuando la falla se debe a:</w:t>
      </w:r>
      <w:r>
        <w:t xml:space="preserve"> </w:t>
      </w:r>
      <w:r>
        <w:t xml:space="preserve">- Sulfatación por descarga profunda repetida o por dejar la batería sin uso por más de 60 días sin mantenimiento.</w:t>
      </w:r>
      <w:r>
        <w:t xml:space="preserve"> </w:t>
      </w:r>
      <w:r>
        <w:t xml:space="preserve">- Daño físico visible: golpes, fisuras en la carcasa, derrame por manipulación indebida.</w:t>
      </w:r>
      <w:r>
        <w:t xml:space="preserve"> </w:t>
      </w:r>
      <w:r>
        <w:t xml:space="preserve">- Instalación realizada por un tercero no autorizado que haya alterado bornes o conexiones.</w:t>
      </w:r>
      <w:r>
        <w:t xml:space="preserve"> </w:t>
      </w:r>
      <w:r>
        <w:t xml:space="preserve">- Uso en un vehículo o equipo distinto al declarado al momento de la compra (ej. batería de moto instalada en un vehículo industrial).</w:t>
      </w:r>
      <w:r>
        <w:t xml:space="preserve"> </w:t>
      </w:r>
      <w:r>
        <w:t xml:space="preserve">- Falla eléctrica del vehículo (alternador, regulador de voltaje) no atribuible a la batería — se debe presentar diagnóstico de un taller.</w:t>
      </w:r>
    </w:p>
    <w:bookmarkEnd w:id="12"/>
    <w:bookmarkStart w:id="13" w:name="qué-sí-cubre-la-garantía-cuando-procede"/>
    <w:p>
      <w:pPr>
        <w:pStyle w:val="Heading2"/>
      </w:pPr>
      <w:r>
        <w:t xml:space="preserve">Qué SÍ cubre la garantía (cuando procede)</w:t>
      </w:r>
    </w:p>
    <w:p>
      <w:pPr>
        <w:pStyle w:val="Compact"/>
        <w:numPr>
          <w:ilvl w:val="0"/>
          <w:numId w:val="1003"/>
        </w:numPr>
      </w:pPr>
      <w:r>
        <w:t xml:space="preserve">Reemplazo de la unidad si el chequeo técnico confirma falla de fábrica dentro del plazo vigente.</w:t>
      </w:r>
    </w:p>
    <w:p>
      <w:pPr>
        <w:pStyle w:val="Compact"/>
        <w:numPr>
          <w:ilvl w:val="0"/>
          <w:numId w:val="1003"/>
        </w:numPr>
      </w:pPr>
      <w:r>
        <w:t xml:space="preserve">Para baterías prorrateadas: un descuento proporcional sobre una unidad nueva equivalente, según los meses de uso restantes.</w:t>
      </w:r>
    </w:p>
    <w:p>
      <w:pPr>
        <w:pStyle w:val="Compact"/>
        <w:numPr>
          <w:ilvl w:val="0"/>
          <w:numId w:val="1003"/>
        </w:numPr>
      </w:pPr>
      <w:r>
        <w:t xml:space="preserve">El chequeo de batería es gratuito siempre, aplique o no la garantía.</w:t>
      </w:r>
    </w:p>
    <w:bookmarkEnd w:id="13"/>
    <w:bookmarkStart w:id="14" w:name="proceso-para-el-cliente"/>
    <w:p>
      <w:pPr>
        <w:pStyle w:val="Heading2"/>
      </w:pPr>
      <w:r>
        <w:t xml:space="preserve">Proceso para el cliente</w:t>
      </w:r>
    </w:p>
    <w:p>
      <w:pPr>
        <w:pStyle w:val="Compact"/>
        <w:numPr>
          <w:ilvl w:val="0"/>
          <w:numId w:val="1004"/>
        </w:numPr>
      </w:pPr>
      <w:r>
        <w:t xml:space="preserve">Lleva la batería y el comprobante de compra a cualquier sucursal.</w:t>
      </w:r>
    </w:p>
    <w:p>
      <w:pPr>
        <w:pStyle w:val="Compact"/>
        <w:numPr>
          <w:ilvl w:val="0"/>
          <w:numId w:val="1004"/>
        </w:numPr>
      </w:pPr>
      <w:r>
        <w:t xml:space="preserve">El equipo técnico hace el chequeo gratuito en el momento (10–15 minutos aprox.).</w:t>
      </w:r>
    </w:p>
    <w:p>
      <w:pPr>
        <w:pStyle w:val="Compact"/>
        <w:numPr>
          <w:ilvl w:val="0"/>
          <w:numId w:val="1004"/>
        </w:numPr>
      </w:pPr>
      <w:r>
        <w:t xml:space="preserve">Si procede la garantía, se reemplaza o se aplica el descuento prorrateado en el momento.</w:t>
      </w:r>
    </w:p>
    <w:p>
      <w:pPr>
        <w:pStyle w:val="Compact"/>
        <w:numPr>
          <w:ilvl w:val="0"/>
          <w:numId w:val="1004"/>
        </w:numPr>
      </w:pPr>
      <w:r>
        <w:t xml:space="preserve">Si no procede, se explica la causa técnica encontrada y se ofrece una alternativa (descuento de reemplazo, plan de pago, u otra solución comercial).</w:t>
      </w:r>
    </w:p>
    <w:bookmarkEnd w:id="14"/>
    <w:bookmarkStart w:id="15" w:name="nota-para-el-equipo"/>
    <w:p>
      <w:pPr>
        <w:pStyle w:val="Heading2"/>
      </w:pPr>
      <w:r>
        <w:t xml:space="preserve">Nota para el equipo</w:t>
      </w:r>
    </w:p>
    <w:p>
      <w:pPr>
        <w:pStyle w:val="FirstParagraph"/>
      </w:pPr>
      <w:r>
        <w:t xml:space="preserve">La causa más frecuente de quejas no es que la garantía se niegue —es que el cliente no entiende POR QUÉ, o siente que el proceso es lento y burocrático. Toda respuesta debe explicar la causa técnica en lenguaje simple y ofrecer una alternativa, nunca cerrar la conversación solo con</w:t>
      </w:r>
      <w:r>
        <w:t xml:space="preserve"> </w:t>
      </w:r>
      <w:r>
        <w:t xml:space="preserve">“no aplica”</w:t>
      </w:r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2026-07-14T17:42:56Z</dcterms:created>
  <dcterms:modified xsi:type="dcterms:W3CDTF">2026-07-14T17:42:56Z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